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E5" w:rsidRPr="002F5D59" w:rsidRDefault="002F5D59" w:rsidP="0048133E">
      <w:pPr>
        <w:jc w:val="center"/>
        <w:rPr>
          <w:rFonts w:asciiTheme="majorBidi" w:hAnsiTheme="majorBidi" w:cstheme="majorBidi"/>
          <w:b/>
          <w:bCs/>
          <w:sz w:val="32"/>
          <w:szCs w:val="32"/>
        </w:rPr>
      </w:pPr>
      <w:r w:rsidRPr="002F5D59">
        <w:rPr>
          <w:rFonts w:asciiTheme="majorBidi" w:hAnsiTheme="majorBidi" w:cstheme="majorBidi"/>
          <w:b/>
          <w:bCs/>
          <w:sz w:val="32"/>
          <w:szCs w:val="32"/>
        </w:rPr>
        <w:t>ADDENDUM</w:t>
      </w:r>
      <w:r w:rsidR="0048133E" w:rsidRPr="002F5D59">
        <w:rPr>
          <w:rFonts w:asciiTheme="majorBidi" w:hAnsiTheme="majorBidi" w:cstheme="majorBidi"/>
          <w:b/>
          <w:bCs/>
          <w:sz w:val="32"/>
          <w:szCs w:val="32"/>
        </w:rPr>
        <w:t xml:space="preserve"> No. 1</w:t>
      </w:r>
    </w:p>
    <w:p w:rsidR="001806AB" w:rsidRDefault="001806AB" w:rsidP="0048133E">
      <w:pPr>
        <w:jc w:val="center"/>
        <w:rPr>
          <w:rFonts w:asciiTheme="majorBidi" w:hAnsiTheme="majorBidi" w:cstheme="majorBidi"/>
          <w:b/>
          <w:bCs/>
          <w:sz w:val="28"/>
          <w:szCs w:val="28"/>
        </w:rPr>
      </w:pPr>
      <w:r>
        <w:rPr>
          <w:rFonts w:asciiTheme="majorBidi" w:hAnsiTheme="majorBidi" w:cstheme="majorBidi"/>
          <w:b/>
          <w:bCs/>
          <w:sz w:val="28"/>
          <w:szCs w:val="28"/>
        </w:rPr>
        <w:t xml:space="preserve">To </w:t>
      </w:r>
    </w:p>
    <w:p w:rsidR="0048133E" w:rsidRPr="002F5D59" w:rsidRDefault="0082386E" w:rsidP="0048133E">
      <w:pPr>
        <w:jc w:val="center"/>
        <w:rPr>
          <w:rFonts w:asciiTheme="majorBidi" w:hAnsiTheme="majorBidi" w:cstheme="majorBidi"/>
          <w:b/>
          <w:bCs/>
          <w:sz w:val="28"/>
          <w:szCs w:val="28"/>
        </w:rPr>
      </w:pPr>
      <w:r>
        <w:rPr>
          <w:rFonts w:asciiTheme="majorBidi" w:hAnsiTheme="majorBidi" w:cstheme="majorBidi"/>
          <w:b/>
          <w:bCs/>
          <w:sz w:val="28"/>
          <w:szCs w:val="28"/>
        </w:rPr>
        <w:t>Bidding</w:t>
      </w:r>
      <w:r w:rsidR="001806AB">
        <w:rPr>
          <w:rFonts w:asciiTheme="majorBidi" w:hAnsiTheme="majorBidi" w:cstheme="majorBidi"/>
          <w:b/>
          <w:bCs/>
          <w:sz w:val="28"/>
          <w:szCs w:val="28"/>
        </w:rPr>
        <w:t xml:space="preserve"> Documents</w:t>
      </w:r>
    </w:p>
    <w:p w:rsidR="0086043D" w:rsidRPr="002F5D59" w:rsidRDefault="0086043D" w:rsidP="0048133E">
      <w:pPr>
        <w:jc w:val="center"/>
        <w:rPr>
          <w:rFonts w:asciiTheme="majorBidi" w:hAnsiTheme="majorBidi" w:cstheme="majorBidi"/>
          <w:b/>
          <w:bCs/>
          <w:sz w:val="28"/>
          <w:szCs w:val="28"/>
        </w:rPr>
      </w:pPr>
      <w:proofErr w:type="gramStart"/>
      <w:r w:rsidRPr="002F5D59">
        <w:rPr>
          <w:rFonts w:asciiTheme="majorBidi" w:hAnsiTheme="majorBidi" w:cstheme="majorBidi"/>
          <w:b/>
          <w:bCs/>
          <w:sz w:val="28"/>
          <w:szCs w:val="28"/>
        </w:rPr>
        <w:t>for</w:t>
      </w:r>
      <w:proofErr w:type="gramEnd"/>
    </w:p>
    <w:p w:rsidR="00F94D6C" w:rsidRPr="0082386E" w:rsidRDefault="007E6546" w:rsidP="007E6546">
      <w:pPr>
        <w:jc w:val="center"/>
        <w:rPr>
          <w:rFonts w:asciiTheme="majorBidi" w:hAnsiTheme="majorBidi" w:cstheme="majorBidi"/>
          <w:sz w:val="28"/>
          <w:szCs w:val="28"/>
          <w:lang w:val="en-GB"/>
        </w:rPr>
      </w:pPr>
      <w:r w:rsidRPr="007E6546">
        <w:rPr>
          <w:rFonts w:asciiTheme="majorBidi" w:hAnsiTheme="majorBidi" w:cstheme="majorBidi"/>
          <w:b/>
          <w:bCs/>
          <w:sz w:val="28"/>
          <w:szCs w:val="28"/>
          <w:lang w:val="en-GB"/>
        </w:rPr>
        <w:t xml:space="preserve">Construction of New </w:t>
      </w:r>
      <w:proofErr w:type="spellStart"/>
      <w:r w:rsidRPr="007E6546">
        <w:rPr>
          <w:rFonts w:asciiTheme="majorBidi" w:hAnsiTheme="majorBidi" w:cstheme="majorBidi"/>
          <w:b/>
          <w:bCs/>
          <w:sz w:val="28"/>
          <w:szCs w:val="28"/>
          <w:lang w:val="en-GB"/>
        </w:rPr>
        <w:t>Zugdidi</w:t>
      </w:r>
      <w:proofErr w:type="spellEnd"/>
      <w:r w:rsidRPr="007E6546">
        <w:rPr>
          <w:rFonts w:asciiTheme="majorBidi" w:hAnsiTheme="majorBidi" w:cstheme="majorBidi"/>
          <w:b/>
          <w:bCs/>
          <w:sz w:val="28"/>
          <w:szCs w:val="28"/>
          <w:lang w:val="en-GB"/>
        </w:rPr>
        <w:t xml:space="preserve"> Landfill and Closure of Existing </w:t>
      </w:r>
      <w:proofErr w:type="spellStart"/>
      <w:r w:rsidRPr="007E6546">
        <w:rPr>
          <w:rFonts w:asciiTheme="majorBidi" w:hAnsiTheme="majorBidi" w:cstheme="majorBidi"/>
          <w:b/>
          <w:bCs/>
          <w:sz w:val="28"/>
          <w:szCs w:val="28"/>
          <w:lang w:val="en-GB"/>
        </w:rPr>
        <w:t>Zugdidi</w:t>
      </w:r>
      <w:proofErr w:type="spellEnd"/>
      <w:r w:rsidRPr="007E6546">
        <w:rPr>
          <w:rFonts w:asciiTheme="majorBidi" w:hAnsiTheme="majorBidi" w:cstheme="majorBidi"/>
          <w:b/>
          <w:bCs/>
          <w:sz w:val="28"/>
          <w:szCs w:val="28"/>
          <w:lang w:val="en-GB"/>
        </w:rPr>
        <w:t xml:space="preserve"> Landfill</w:t>
      </w:r>
    </w:p>
    <w:p w:rsidR="0086043D" w:rsidRPr="0082386E" w:rsidRDefault="0082386E" w:rsidP="007E6546">
      <w:pPr>
        <w:widowControl w:val="0"/>
        <w:autoSpaceDE w:val="0"/>
        <w:autoSpaceDN w:val="0"/>
        <w:spacing w:after="0"/>
        <w:ind w:left="1418" w:hanging="1418"/>
        <w:rPr>
          <w:rFonts w:asciiTheme="majorBidi" w:hAnsiTheme="majorBidi" w:cstheme="majorBidi"/>
          <w:b/>
          <w:i/>
          <w:sz w:val="28"/>
          <w:szCs w:val="28"/>
          <w:lang w:val="en-GB"/>
        </w:rPr>
      </w:pPr>
      <w:r>
        <w:rPr>
          <w:rFonts w:asciiTheme="majorBidi" w:hAnsiTheme="majorBidi" w:cstheme="majorBidi"/>
          <w:b/>
          <w:sz w:val="28"/>
          <w:szCs w:val="28"/>
        </w:rPr>
        <w:t>Employer</w:t>
      </w:r>
      <w:r w:rsidR="0086043D" w:rsidRPr="002F5D59">
        <w:rPr>
          <w:rFonts w:asciiTheme="majorBidi" w:hAnsiTheme="majorBidi" w:cstheme="majorBidi"/>
          <w:b/>
          <w:sz w:val="28"/>
          <w:szCs w:val="28"/>
        </w:rPr>
        <w:t xml:space="preserve">: </w:t>
      </w:r>
      <w:r w:rsidR="007E6546" w:rsidRPr="007E6546">
        <w:rPr>
          <w:rFonts w:asciiTheme="majorBidi" w:hAnsiTheme="majorBidi" w:cstheme="majorBidi"/>
          <w:b/>
          <w:bCs/>
          <w:iCs/>
          <w:sz w:val="28"/>
          <w:szCs w:val="28"/>
          <w:lang w:val="en-GB"/>
        </w:rPr>
        <w:t>Solid Waste Management Company of Georgia LTD</w:t>
      </w:r>
      <w:r w:rsidR="007E6546">
        <w:rPr>
          <w:rFonts w:asciiTheme="majorBidi" w:hAnsiTheme="majorBidi" w:cstheme="majorBidi"/>
          <w:b/>
          <w:bCs/>
          <w:iCs/>
          <w:sz w:val="28"/>
          <w:szCs w:val="28"/>
          <w:lang w:val="en-GB"/>
        </w:rPr>
        <w:t xml:space="preserve"> (SWMCG)</w:t>
      </w:r>
    </w:p>
    <w:p w:rsidR="0086043D" w:rsidRPr="002F5D59" w:rsidRDefault="0086043D" w:rsidP="0086043D">
      <w:pPr>
        <w:widowControl w:val="0"/>
        <w:autoSpaceDE w:val="0"/>
        <w:autoSpaceDN w:val="0"/>
        <w:spacing w:after="0"/>
        <w:rPr>
          <w:rFonts w:asciiTheme="majorBidi" w:hAnsiTheme="majorBidi" w:cstheme="majorBidi"/>
          <w:b/>
          <w:bCs/>
          <w:iCs/>
          <w:sz w:val="28"/>
          <w:szCs w:val="28"/>
        </w:rPr>
      </w:pPr>
      <w:bookmarkStart w:id="0" w:name="_GoBack"/>
      <w:bookmarkEnd w:id="0"/>
    </w:p>
    <w:p w:rsidR="0086043D" w:rsidRDefault="00081AD2" w:rsidP="00081AD2">
      <w:pPr>
        <w:widowControl w:val="0"/>
        <w:autoSpaceDE w:val="0"/>
        <w:autoSpaceDN w:val="0"/>
        <w:spacing w:after="0"/>
        <w:ind w:left="2160" w:hanging="2160"/>
        <w:rPr>
          <w:rFonts w:asciiTheme="majorBidi" w:hAnsiTheme="majorBidi" w:cstheme="majorBidi"/>
          <w:iCs/>
          <w:sz w:val="28"/>
          <w:szCs w:val="28"/>
          <w:lang w:val="en-GB"/>
        </w:rPr>
      </w:pPr>
      <w:r w:rsidRPr="00081AD2">
        <w:rPr>
          <w:rFonts w:asciiTheme="majorBidi" w:hAnsiTheme="majorBidi" w:cstheme="majorBidi"/>
          <w:b/>
          <w:bCs/>
          <w:iCs/>
          <w:sz w:val="28"/>
          <w:szCs w:val="28"/>
          <w:lang w:val="en-GB"/>
        </w:rPr>
        <w:t>KfW No.: 509333</w:t>
      </w:r>
    </w:p>
    <w:p w:rsidR="00081AD2" w:rsidRPr="00081AD2" w:rsidRDefault="00081AD2" w:rsidP="00081AD2">
      <w:pPr>
        <w:widowControl w:val="0"/>
        <w:autoSpaceDE w:val="0"/>
        <w:autoSpaceDN w:val="0"/>
        <w:spacing w:after="0"/>
        <w:ind w:left="2160" w:hanging="2160"/>
        <w:rPr>
          <w:rFonts w:asciiTheme="majorBidi" w:hAnsiTheme="majorBidi" w:cstheme="majorBidi"/>
          <w:iCs/>
          <w:sz w:val="28"/>
          <w:szCs w:val="28"/>
          <w:lang w:val="en-GB"/>
        </w:rPr>
      </w:pPr>
      <w:r w:rsidRPr="00081AD2">
        <w:rPr>
          <w:rFonts w:asciiTheme="majorBidi" w:hAnsiTheme="majorBidi" w:cstheme="majorBidi"/>
          <w:b/>
          <w:bCs/>
          <w:iCs/>
          <w:sz w:val="28"/>
          <w:szCs w:val="28"/>
          <w:lang w:val="en-GB"/>
        </w:rPr>
        <w:t>ICB No.: ICB/W/SZS/01</w:t>
      </w:r>
    </w:p>
    <w:p w:rsidR="002F5D59" w:rsidRDefault="00F94D6C">
      <w:pPr>
        <w:sectPr w:rsidR="002F5D59">
          <w:pgSz w:w="12240" w:h="15840"/>
          <w:pgMar w:top="1440" w:right="1800" w:bottom="1440" w:left="1800" w:header="708" w:footer="708" w:gutter="0"/>
          <w:cols w:space="708"/>
          <w:docGrid w:linePitch="360"/>
        </w:sectPr>
      </w:pPr>
      <w:r>
        <w:br w:type="page"/>
      </w:r>
    </w:p>
    <w:p w:rsidR="00F94D6C" w:rsidRDefault="00F94D6C"/>
    <w:p w:rsidR="0086043D" w:rsidRPr="002F5D59" w:rsidRDefault="0086043D" w:rsidP="0082386E">
      <w:pPr>
        <w:pStyle w:val="DefenceNormal"/>
        <w:ind w:left="-851"/>
        <w:rPr>
          <w:b/>
          <w:bCs/>
          <w:sz w:val="24"/>
          <w:szCs w:val="24"/>
        </w:rPr>
      </w:pPr>
      <w:r w:rsidRPr="002F5D59">
        <w:rPr>
          <w:b/>
          <w:bCs/>
          <w:sz w:val="24"/>
          <w:szCs w:val="24"/>
        </w:rPr>
        <w:t xml:space="preserve">To: All </w:t>
      </w:r>
      <w:r w:rsidR="0082386E">
        <w:rPr>
          <w:b/>
          <w:bCs/>
          <w:sz w:val="24"/>
          <w:szCs w:val="24"/>
        </w:rPr>
        <w:t>Bidders</w:t>
      </w:r>
    </w:p>
    <w:p w:rsidR="002F5D59" w:rsidRPr="002F5D59" w:rsidRDefault="002F5D59" w:rsidP="0082386E">
      <w:pPr>
        <w:pStyle w:val="DefenceNormal"/>
        <w:ind w:left="-851"/>
        <w:rPr>
          <w:sz w:val="24"/>
          <w:szCs w:val="24"/>
          <w:lang w:val="en-GB"/>
        </w:rPr>
      </w:pPr>
      <w:r w:rsidRPr="002F5D59">
        <w:rPr>
          <w:sz w:val="24"/>
          <w:szCs w:val="24"/>
          <w:lang w:val="en-GB"/>
        </w:rPr>
        <w:t xml:space="preserve">This addendum is issued in accordance with </w:t>
      </w:r>
      <w:r w:rsidRPr="00454F40">
        <w:rPr>
          <w:sz w:val="24"/>
          <w:szCs w:val="24"/>
        </w:rPr>
        <w:t xml:space="preserve">Clause </w:t>
      </w:r>
      <w:r w:rsidR="0082386E">
        <w:rPr>
          <w:sz w:val="24"/>
          <w:szCs w:val="24"/>
        </w:rPr>
        <w:t>8</w:t>
      </w:r>
      <w:r w:rsidRPr="00454F40">
        <w:rPr>
          <w:sz w:val="24"/>
          <w:szCs w:val="24"/>
        </w:rPr>
        <w:t xml:space="preserve"> of the Instructions to </w:t>
      </w:r>
      <w:r w:rsidR="0082386E">
        <w:rPr>
          <w:sz w:val="24"/>
          <w:szCs w:val="24"/>
        </w:rPr>
        <w:t>Bidders</w:t>
      </w:r>
      <w:r w:rsidRPr="002F5D59">
        <w:rPr>
          <w:sz w:val="24"/>
          <w:szCs w:val="24"/>
          <w:lang w:val="en-GB"/>
        </w:rPr>
        <w:t xml:space="preserve">. The addendum amends and/or supplements the provisions in the </w:t>
      </w:r>
      <w:r w:rsidR="0082386E">
        <w:rPr>
          <w:sz w:val="24"/>
          <w:szCs w:val="24"/>
          <w:lang w:val="en-GB"/>
        </w:rPr>
        <w:t>Bidding</w:t>
      </w:r>
      <w:r w:rsidRPr="002F5D59">
        <w:rPr>
          <w:sz w:val="24"/>
          <w:szCs w:val="24"/>
          <w:lang w:val="en-GB"/>
        </w:rPr>
        <w:t xml:space="preserve"> </w:t>
      </w:r>
      <w:r w:rsidR="0082386E">
        <w:rPr>
          <w:sz w:val="24"/>
          <w:szCs w:val="24"/>
          <w:lang w:val="en-GB"/>
        </w:rPr>
        <w:t>D</w:t>
      </w:r>
      <w:r w:rsidRPr="002F5D59">
        <w:rPr>
          <w:sz w:val="24"/>
          <w:szCs w:val="24"/>
          <w:lang w:val="en-GB"/>
        </w:rPr>
        <w:t xml:space="preserve">ocuments.  Whenever there is a conflict, the provisions herein shall prevail over those in the </w:t>
      </w:r>
      <w:r w:rsidR="0082386E">
        <w:rPr>
          <w:sz w:val="24"/>
          <w:szCs w:val="24"/>
          <w:lang w:val="en-GB"/>
        </w:rPr>
        <w:t>Bidding</w:t>
      </w:r>
      <w:r w:rsidRPr="002F5D59">
        <w:rPr>
          <w:sz w:val="24"/>
          <w:szCs w:val="24"/>
          <w:lang w:val="en-GB"/>
        </w:rPr>
        <w:t xml:space="preserve"> </w:t>
      </w:r>
      <w:r w:rsidR="0082386E">
        <w:rPr>
          <w:sz w:val="24"/>
          <w:szCs w:val="24"/>
          <w:lang w:val="en-GB"/>
        </w:rPr>
        <w:t>D</w:t>
      </w:r>
      <w:r w:rsidRPr="002F5D59">
        <w:rPr>
          <w:sz w:val="24"/>
          <w:szCs w:val="24"/>
          <w:lang w:val="en-GB"/>
        </w:rPr>
        <w:t>ocuments.</w:t>
      </w:r>
    </w:p>
    <w:tbl>
      <w:tblPr>
        <w:tblStyle w:val="TableGrid"/>
        <w:tblW w:w="13469" w:type="dxa"/>
        <w:tblInd w:w="-743" w:type="dxa"/>
        <w:tblLook w:val="04A0" w:firstRow="1" w:lastRow="0" w:firstColumn="1" w:lastColumn="0" w:noHBand="0" w:noVBand="1"/>
      </w:tblPr>
      <w:tblGrid>
        <w:gridCol w:w="2258"/>
        <w:gridCol w:w="1609"/>
        <w:gridCol w:w="4733"/>
        <w:gridCol w:w="4869"/>
      </w:tblGrid>
      <w:tr w:rsidR="002D5F2B" w:rsidRPr="00AE31CE" w:rsidTr="002D5F2B">
        <w:tc>
          <w:tcPr>
            <w:tcW w:w="2258" w:type="dxa"/>
          </w:tcPr>
          <w:p w:rsidR="002D5F2B" w:rsidRPr="00AC4241" w:rsidRDefault="002D5F2B" w:rsidP="002F5D59">
            <w:pPr>
              <w:jc w:val="center"/>
              <w:rPr>
                <w:rFonts w:asciiTheme="majorBidi" w:hAnsiTheme="majorBidi" w:cstheme="majorBidi"/>
                <w:b/>
                <w:bCs/>
                <w:lang w:val="en-GB"/>
              </w:rPr>
            </w:pPr>
            <w:r w:rsidRPr="00AC4241">
              <w:rPr>
                <w:rFonts w:asciiTheme="majorBidi" w:hAnsiTheme="majorBidi" w:cstheme="majorBidi"/>
                <w:b/>
                <w:bCs/>
                <w:lang w:val="en-GB"/>
              </w:rPr>
              <w:t>Ref. in</w:t>
            </w:r>
          </w:p>
          <w:p w:rsidR="002D5F2B" w:rsidRPr="00AC4241" w:rsidRDefault="007E6546" w:rsidP="002F5D59">
            <w:pPr>
              <w:jc w:val="center"/>
              <w:rPr>
                <w:rFonts w:asciiTheme="majorBidi" w:hAnsiTheme="majorBidi" w:cstheme="majorBidi"/>
                <w:b/>
                <w:bCs/>
                <w:lang w:val="en-GB"/>
              </w:rPr>
            </w:pPr>
            <w:r>
              <w:rPr>
                <w:rFonts w:asciiTheme="majorBidi" w:hAnsiTheme="majorBidi" w:cstheme="majorBidi"/>
                <w:b/>
                <w:bCs/>
                <w:lang w:val="en-GB"/>
              </w:rPr>
              <w:t>Bidding</w:t>
            </w:r>
            <w:r w:rsidR="002D5F2B" w:rsidRPr="00AC4241">
              <w:rPr>
                <w:rFonts w:asciiTheme="majorBidi" w:hAnsiTheme="majorBidi" w:cstheme="majorBidi"/>
                <w:b/>
                <w:bCs/>
                <w:lang w:val="en-GB"/>
              </w:rPr>
              <w:t xml:space="preserve"> Documents</w:t>
            </w:r>
          </w:p>
          <w:p w:rsidR="002D5F2B" w:rsidRPr="00AC4241" w:rsidRDefault="002D5F2B" w:rsidP="0048133E">
            <w:pPr>
              <w:jc w:val="center"/>
              <w:rPr>
                <w:rFonts w:asciiTheme="majorBidi" w:hAnsiTheme="majorBidi" w:cstheme="majorBidi"/>
                <w:b/>
                <w:bCs/>
              </w:rPr>
            </w:pPr>
          </w:p>
        </w:tc>
        <w:tc>
          <w:tcPr>
            <w:tcW w:w="1609" w:type="dxa"/>
          </w:tcPr>
          <w:p w:rsidR="002D5F2B" w:rsidRPr="00AC4241" w:rsidRDefault="002D5F2B" w:rsidP="0048133E">
            <w:pPr>
              <w:jc w:val="center"/>
              <w:rPr>
                <w:rFonts w:asciiTheme="majorBidi" w:hAnsiTheme="majorBidi" w:cstheme="majorBidi"/>
                <w:b/>
                <w:bCs/>
              </w:rPr>
            </w:pPr>
            <w:r w:rsidRPr="00AC4241">
              <w:rPr>
                <w:rFonts w:asciiTheme="majorBidi" w:hAnsiTheme="majorBidi" w:cstheme="majorBidi"/>
                <w:b/>
                <w:bCs/>
              </w:rPr>
              <w:t xml:space="preserve">Clause No. </w:t>
            </w:r>
          </w:p>
        </w:tc>
        <w:tc>
          <w:tcPr>
            <w:tcW w:w="4733" w:type="dxa"/>
          </w:tcPr>
          <w:p w:rsidR="002D5F2B" w:rsidRPr="00AC4241" w:rsidRDefault="002D5F2B" w:rsidP="0048133E">
            <w:pPr>
              <w:jc w:val="center"/>
              <w:rPr>
                <w:rFonts w:asciiTheme="majorBidi" w:hAnsiTheme="majorBidi" w:cstheme="majorBidi"/>
                <w:b/>
                <w:bCs/>
              </w:rPr>
            </w:pPr>
            <w:r w:rsidRPr="00AC4241">
              <w:rPr>
                <w:rFonts w:asciiTheme="majorBidi" w:hAnsiTheme="majorBidi" w:cstheme="majorBidi"/>
                <w:b/>
                <w:bCs/>
              </w:rPr>
              <w:t>Original Text</w:t>
            </w:r>
          </w:p>
        </w:tc>
        <w:tc>
          <w:tcPr>
            <w:tcW w:w="4869" w:type="dxa"/>
          </w:tcPr>
          <w:p w:rsidR="002D5F2B" w:rsidRPr="00AC4241" w:rsidRDefault="002D5F2B" w:rsidP="0048133E">
            <w:pPr>
              <w:jc w:val="center"/>
              <w:rPr>
                <w:rFonts w:asciiTheme="majorBidi" w:hAnsiTheme="majorBidi" w:cstheme="majorBidi"/>
                <w:b/>
                <w:bCs/>
              </w:rPr>
            </w:pPr>
            <w:r w:rsidRPr="00AC4241">
              <w:rPr>
                <w:rFonts w:asciiTheme="majorBidi" w:hAnsiTheme="majorBidi" w:cstheme="majorBidi"/>
                <w:b/>
                <w:bCs/>
              </w:rPr>
              <w:t>Amended Text</w:t>
            </w:r>
          </w:p>
        </w:tc>
      </w:tr>
      <w:tr w:rsidR="002D5F2B" w:rsidRPr="00AE31CE" w:rsidTr="002D5F2B">
        <w:tc>
          <w:tcPr>
            <w:tcW w:w="2258" w:type="dxa"/>
          </w:tcPr>
          <w:p w:rsidR="002D5F2B" w:rsidRPr="007E6546" w:rsidRDefault="007E6546" w:rsidP="007E6546">
            <w:pPr>
              <w:rPr>
                <w:rFonts w:asciiTheme="majorBidi" w:hAnsiTheme="majorBidi" w:cstheme="majorBidi"/>
                <w:lang w:val="en-GB"/>
              </w:rPr>
            </w:pPr>
            <w:bookmarkStart w:id="1" w:name="_Toc120837035"/>
            <w:r w:rsidRPr="007E6546">
              <w:rPr>
                <w:rFonts w:asciiTheme="majorBidi" w:hAnsiTheme="majorBidi" w:cstheme="majorBidi"/>
                <w:lang w:val="en-GB"/>
              </w:rPr>
              <w:t>Section III. Qualification and Evaluation Criteria</w:t>
            </w:r>
            <w:bookmarkEnd w:id="1"/>
          </w:p>
        </w:tc>
        <w:tc>
          <w:tcPr>
            <w:tcW w:w="1609" w:type="dxa"/>
          </w:tcPr>
          <w:p w:rsidR="002D5F2B" w:rsidRPr="0079451E" w:rsidRDefault="007E6546" w:rsidP="007E6546">
            <w:pPr>
              <w:jc w:val="both"/>
              <w:rPr>
                <w:rFonts w:asciiTheme="majorBidi" w:hAnsiTheme="majorBidi" w:cstheme="majorBidi"/>
              </w:rPr>
            </w:pPr>
            <w:r>
              <w:rPr>
                <w:rFonts w:asciiTheme="majorBidi" w:hAnsiTheme="majorBidi" w:cstheme="majorBidi"/>
              </w:rPr>
              <w:t>The second paragraph of the introduction</w:t>
            </w:r>
          </w:p>
        </w:tc>
        <w:tc>
          <w:tcPr>
            <w:tcW w:w="4733" w:type="dxa"/>
          </w:tcPr>
          <w:p w:rsidR="007E6546" w:rsidRPr="007E6546" w:rsidRDefault="007E6546" w:rsidP="007E6546">
            <w:pPr>
              <w:jc w:val="both"/>
              <w:rPr>
                <w:rFonts w:ascii="Times New Roman" w:eastAsia="Times New Roman" w:hAnsi="Times New Roman" w:cs="Times New Roman"/>
                <w:bCs/>
                <w:lang w:val="en-GB" w:eastAsia="en-GB" w:bidi="ar-SA"/>
              </w:rPr>
            </w:pPr>
            <w:r w:rsidRPr="007E6546">
              <w:rPr>
                <w:rFonts w:ascii="Times New Roman" w:eastAsia="Times New Roman" w:hAnsi="Times New Roman" w:cs="Times New Roman"/>
                <w:bCs/>
                <w:lang w:val="en-GB" w:eastAsia="en-GB" w:bidi="ar-SA"/>
              </w:rPr>
              <w:t>Wherever</w:t>
            </w:r>
            <w:r w:rsidRPr="007E6546">
              <w:rPr>
                <w:rFonts w:ascii="Times New Roman" w:eastAsia="Times New Roman" w:hAnsi="Times New Roman" w:cs="Times New Roman"/>
                <w:lang w:val="en-GB" w:eastAsia="en-GB" w:bidi="ar-SA"/>
              </w:rPr>
              <w:t xml:space="preserve"> a Bidder is required to state a monetary amount, Bidders should indicate the EUR equivalent using the rate of exchange determined as follows:</w:t>
            </w:r>
          </w:p>
          <w:p w:rsidR="007E6546" w:rsidRPr="007E6546" w:rsidRDefault="007E6546" w:rsidP="007E6546">
            <w:pPr>
              <w:numPr>
                <w:ilvl w:val="0"/>
                <w:numId w:val="5"/>
              </w:numPr>
              <w:jc w:val="both"/>
              <w:rPr>
                <w:rFonts w:ascii="Times New Roman" w:eastAsia="Times New Roman" w:hAnsi="Times New Roman" w:cs="Times New Roman"/>
                <w:bCs/>
                <w:lang w:val="en-GB" w:eastAsia="en-GB" w:bidi="ar-SA"/>
              </w:rPr>
            </w:pPr>
            <w:r w:rsidRPr="007E6546">
              <w:rPr>
                <w:rFonts w:ascii="Times New Roman" w:eastAsia="Times New Roman" w:hAnsi="Times New Roman" w:cs="Times New Roman"/>
                <w:lang w:val="en-GB" w:eastAsia="en-GB" w:bidi="ar-SA"/>
              </w:rPr>
              <w:t>For construction turnover or financial data required for each year - Exchange rate prevailing on the last day of the respective calendar year;</w:t>
            </w:r>
          </w:p>
          <w:p w:rsidR="007E6546" w:rsidRPr="007E6546" w:rsidRDefault="007E6546" w:rsidP="007E6546">
            <w:pPr>
              <w:numPr>
                <w:ilvl w:val="0"/>
                <w:numId w:val="5"/>
              </w:numPr>
              <w:jc w:val="both"/>
              <w:rPr>
                <w:rFonts w:ascii="Times New Roman" w:eastAsia="Times New Roman" w:hAnsi="Times New Roman" w:cs="Times New Roman"/>
                <w:bCs/>
                <w:lang w:val="en-GB" w:eastAsia="en-GB" w:bidi="ar-SA"/>
              </w:rPr>
            </w:pPr>
            <w:r w:rsidRPr="007E6546">
              <w:rPr>
                <w:rFonts w:ascii="Times New Roman" w:eastAsia="Times New Roman" w:hAnsi="Times New Roman" w:cs="Times New Roman"/>
                <w:lang w:val="en-GB" w:eastAsia="en-GB" w:bidi="ar-SA"/>
              </w:rPr>
              <w:t>Value of single contract - Exchange rate prevailing on the date of the contract.</w:t>
            </w:r>
          </w:p>
          <w:p w:rsidR="002D5F2B" w:rsidRPr="007E6546" w:rsidRDefault="007E6546" w:rsidP="007E6546">
            <w:pPr>
              <w:jc w:val="both"/>
              <w:rPr>
                <w:rFonts w:ascii="Times New Roman" w:eastAsia="Times New Roman" w:hAnsi="Times New Roman" w:cs="Times New Roman"/>
                <w:lang w:val="en-GB" w:eastAsia="en-GB" w:bidi="ar-SA"/>
              </w:rPr>
            </w:pPr>
            <w:r w:rsidRPr="007E6546">
              <w:rPr>
                <w:rFonts w:ascii="Times New Roman" w:eastAsia="Times New Roman" w:hAnsi="Times New Roman" w:cs="Times New Roman"/>
                <w:lang w:val="en-GB" w:eastAsia="en-GB" w:bidi="ar-SA"/>
              </w:rPr>
              <w:t>Exchange rates shall be taken from the publicly available source identified in the ITB 33.1. Any error in determining the exchange rates in the Bid may be corrected by the Employer.</w:t>
            </w:r>
          </w:p>
        </w:tc>
        <w:tc>
          <w:tcPr>
            <w:tcW w:w="4869" w:type="dxa"/>
          </w:tcPr>
          <w:p w:rsidR="007E6546" w:rsidRPr="007E6546" w:rsidRDefault="007E6546" w:rsidP="007E6546">
            <w:pPr>
              <w:jc w:val="both"/>
              <w:rPr>
                <w:rFonts w:ascii="Times New Roman" w:eastAsia="Times New Roman" w:hAnsi="Times New Roman" w:cs="Times New Roman"/>
                <w:bCs/>
                <w:lang w:val="en-GB" w:eastAsia="en-GB" w:bidi="ar-SA"/>
              </w:rPr>
            </w:pPr>
            <w:r w:rsidRPr="007E6546">
              <w:rPr>
                <w:rFonts w:ascii="Times New Roman" w:eastAsia="Times New Roman" w:hAnsi="Times New Roman" w:cs="Times New Roman"/>
                <w:bCs/>
                <w:lang w:val="en-GB" w:eastAsia="en-GB" w:bidi="ar-SA"/>
              </w:rPr>
              <w:t>Wherever</w:t>
            </w:r>
            <w:r w:rsidRPr="007E6546">
              <w:rPr>
                <w:rFonts w:ascii="Times New Roman" w:eastAsia="Times New Roman" w:hAnsi="Times New Roman" w:cs="Times New Roman"/>
                <w:lang w:val="en-GB" w:eastAsia="en-GB" w:bidi="ar-SA"/>
              </w:rPr>
              <w:t xml:space="preserve"> a Bidder is required to state a monetary amount, Bidders should indicate the EUR equivalent using the rate of exchange determined as follows:</w:t>
            </w:r>
          </w:p>
          <w:p w:rsidR="007E6546" w:rsidRPr="007E6546" w:rsidRDefault="007E6546" w:rsidP="007E6546">
            <w:pPr>
              <w:numPr>
                <w:ilvl w:val="0"/>
                <w:numId w:val="6"/>
              </w:numPr>
              <w:jc w:val="both"/>
              <w:rPr>
                <w:rFonts w:ascii="Times New Roman" w:eastAsia="Times New Roman" w:hAnsi="Times New Roman" w:cs="Times New Roman"/>
                <w:bCs/>
                <w:lang w:val="en-GB" w:eastAsia="en-GB" w:bidi="ar-SA"/>
              </w:rPr>
            </w:pPr>
            <w:r w:rsidRPr="007E6546">
              <w:rPr>
                <w:rFonts w:ascii="Times New Roman" w:eastAsia="Times New Roman" w:hAnsi="Times New Roman" w:cs="Times New Roman"/>
                <w:lang w:val="en-GB" w:eastAsia="en-GB" w:bidi="ar-SA"/>
              </w:rPr>
              <w:t>For construction turnover or financial data required for each year - Exchange rate prevailing on the last day of the respective calendar year;</w:t>
            </w:r>
          </w:p>
          <w:p w:rsidR="007E6546" w:rsidRPr="007E6546" w:rsidRDefault="007E6546" w:rsidP="007E6546">
            <w:pPr>
              <w:numPr>
                <w:ilvl w:val="0"/>
                <w:numId w:val="6"/>
              </w:numPr>
              <w:jc w:val="both"/>
              <w:rPr>
                <w:rFonts w:ascii="Times New Roman" w:eastAsia="Times New Roman" w:hAnsi="Times New Roman" w:cs="Times New Roman"/>
                <w:bCs/>
                <w:lang w:val="en-GB" w:eastAsia="en-GB" w:bidi="ar-SA"/>
              </w:rPr>
            </w:pPr>
            <w:r w:rsidRPr="007E6546">
              <w:rPr>
                <w:rFonts w:ascii="Times New Roman" w:eastAsia="Times New Roman" w:hAnsi="Times New Roman" w:cs="Times New Roman"/>
                <w:lang w:val="en-GB" w:eastAsia="en-GB" w:bidi="ar-SA"/>
              </w:rPr>
              <w:t>Value of single contract - Exchange rate prevailing on the date of the contract.</w:t>
            </w:r>
          </w:p>
          <w:p w:rsidR="002D5F2B" w:rsidRPr="007E6546" w:rsidRDefault="007E6546" w:rsidP="007E6546">
            <w:pPr>
              <w:jc w:val="both"/>
              <w:rPr>
                <w:rFonts w:ascii="Times New Roman" w:eastAsia="Times New Roman" w:hAnsi="Times New Roman" w:cs="Times New Roman"/>
                <w:lang w:val="en-GB" w:eastAsia="en-GB" w:bidi="ar-SA"/>
              </w:rPr>
            </w:pPr>
            <w:r w:rsidRPr="007E6546">
              <w:rPr>
                <w:rFonts w:ascii="Times New Roman" w:eastAsia="Times New Roman" w:hAnsi="Times New Roman" w:cs="Times New Roman"/>
                <w:lang w:val="en-GB" w:eastAsia="en-GB" w:bidi="ar-SA"/>
              </w:rPr>
              <w:t xml:space="preserve">Exchange rates shall be taken from the </w:t>
            </w:r>
            <w:r w:rsidRPr="007E6546">
              <w:rPr>
                <w:rFonts w:ascii="Times New Roman" w:eastAsia="Times New Roman" w:hAnsi="Times New Roman" w:cs="Times New Roman"/>
                <w:b/>
                <w:bCs/>
                <w:lang w:val="en-GB" w:eastAsia="en-GB" w:bidi="ar-SA"/>
              </w:rPr>
              <w:t>OANDA website</w:t>
            </w:r>
            <w:r w:rsidRPr="007E6546">
              <w:rPr>
                <w:rFonts w:ascii="Times New Roman" w:eastAsia="Times New Roman" w:hAnsi="Times New Roman" w:cs="Times New Roman"/>
                <w:lang w:val="en-GB" w:eastAsia="en-GB" w:bidi="ar-SA"/>
              </w:rPr>
              <w:t>. Any error in determining the exchange rates in the Bid may be corrected by the Employer.</w:t>
            </w:r>
          </w:p>
        </w:tc>
      </w:tr>
      <w:tr w:rsidR="002D5F2B" w:rsidRPr="00AE31CE" w:rsidTr="002D5F2B">
        <w:tc>
          <w:tcPr>
            <w:tcW w:w="2258" w:type="dxa"/>
          </w:tcPr>
          <w:p w:rsidR="002D5F2B" w:rsidRPr="0079451E" w:rsidRDefault="002D5F2B" w:rsidP="00703646">
            <w:pPr>
              <w:rPr>
                <w:rFonts w:asciiTheme="majorBidi" w:hAnsiTheme="majorBidi" w:cstheme="majorBidi"/>
              </w:rPr>
            </w:pPr>
          </w:p>
        </w:tc>
        <w:tc>
          <w:tcPr>
            <w:tcW w:w="1609" w:type="dxa"/>
          </w:tcPr>
          <w:p w:rsidR="002D5F2B" w:rsidRPr="004A42F2" w:rsidRDefault="002D5F2B" w:rsidP="00783521">
            <w:pPr>
              <w:jc w:val="both"/>
              <w:rPr>
                <w:rFonts w:asciiTheme="majorBidi" w:hAnsiTheme="majorBidi" w:cstheme="majorBidi"/>
              </w:rPr>
            </w:pPr>
          </w:p>
        </w:tc>
        <w:tc>
          <w:tcPr>
            <w:tcW w:w="4733" w:type="dxa"/>
          </w:tcPr>
          <w:p w:rsidR="002D5F2B" w:rsidRPr="002D5F2B" w:rsidRDefault="002D5F2B" w:rsidP="00783521">
            <w:pPr>
              <w:jc w:val="both"/>
              <w:rPr>
                <w:rFonts w:asciiTheme="majorBidi" w:hAnsiTheme="majorBidi" w:cstheme="majorBidi"/>
                <w:lang w:val="en-GB"/>
              </w:rPr>
            </w:pPr>
          </w:p>
        </w:tc>
        <w:tc>
          <w:tcPr>
            <w:tcW w:w="4869" w:type="dxa"/>
          </w:tcPr>
          <w:p w:rsidR="002D5F2B" w:rsidRPr="002D5F2B" w:rsidRDefault="002D5F2B" w:rsidP="00703646">
            <w:pPr>
              <w:jc w:val="both"/>
              <w:rPr>
                <w:rFonts w:asciiTheme="majorBidi" w:hAnsiTheme="majorBidi" w:cstheme="majorBidi"/>
                <w:lang w:val="en-GB"/>
              </w:rPr>
            </w:pPr>
          </w:p>
        </w:tc>
      </w:tr>
    </w:tbl>
    <w:p w:rsidR="00F94D6C" w:rsidRDefault="00F94D6C" w:rsidP="00783521">
      <w:pPr>
        <w:jc w:val="both"/>
      </w:pPr>
    </w:p>
    <w:sectPr w:rsidR="00F94D6C" w:rsidSect="002F5D59">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5DE"/>
    <w:multiLevelType w:val="hybridMultilevel"/>
    <w:tmpl w:val="5FB64FF4"/>
    <w:lvl w:ilvl="0" w:tplc="1444B9E4">
      <w:start w:val="1"/>
      <w:numFmt w:val="decimal"/>
      <w:lvlText w:val="%1)"/>
      <w:lvlJc w:val="left"/>
      <w:pPr>
        <w:ind w:left="786" w:hanging="360"/>
      </w:pPr>
      <w:rPr>
        <w:rFonts w:hint="default"/>
      </w:rPr>
    </w:lvl>
    <w:lvl w:ilvl="1" w:tplc="EE12D068" w:tentative="1">
      <w:start w:val="1"/>
      <w:numFmt w:val="lowerLetter"/>
      <w:lvlText w:val="%2."/>
      <w:lvlJc w:val="left"/>
      <w:pPr>
        <w:ind w:left="1506" w:hanging="360"/>
      </w:pPr>
    </w:lvl>
    <w:lvl w:ilvl="2" w:tplc="E216F456" w:tentative="1">
      <w:start w:val="1"/>
      <w:numFmt w:val="lowerRoman"/>
      <w:lvlText w:val="%3."/>
      <w:lvlJc w:val="right"/>
      <w:pPr>
        <w:ind w:left="2226" w:hanging="180"/>
      </w:pPr>
    </w:lvl>
    <w:lvl w:ilvl="3" w:tplc="2EE68F24" w:tentative="1">
      <w:start w:val="1"/>
      <w:numFmt w:val="decimal"/>
      <w:lvlText w:val="%4."/>
      <w:lvlJc w:val="left"/>
      <w:pPr>
        <w:ind w:left="2946" w:hanging="360"/>
      </w:pPr>
    </w:lvl>
    <w:lvl w:ilvl="4" w:tplc="CB02A9BC" w:tentative="1">
      <w:start w:val="1"/>
      <w:numFmt w:val="lowerLetter"/>
      <w:lvlText w:val="%5."/>
      <w:lvlJc w:val="left"/>
      <w:pPr>
        <w:ind w:left="3666" w:hanging="360"/>
      </w:pPr>
    </w:lvl>
    <w:lvl w:ilvl="5" w:tplc="2B32706E" w:tentative="1">
      <w:start w:val="1"/>
      <w:numFmt w:val="lowerRoman"/>
      <w:lvlText w:val="%6."/>
      <w:lvlJc w:val="right"/>
      <w:pPr>
        <w:ind w:left="4386" w:hanging="180"/>
      </w:pPr>
    </w:lvl>
    <w:lvl w:ilvl="6" w:tplc="85EE8AF8" w:tentative="1">
      <w:start w:val="1"/>
      <w:numFmt w:val="decimal"/>
      <w:lvlText w:val="%7."/>
      <w:lvlJc w:val="left"/>
      <w:pPr>
        <w:ind w:left="5106" w:hanging="360"/>
      </w:pPr>
    </w:lvl>
    <w:lvl w:ilvl="7" w:tplc="B684871A" w:tentative="1">
      <w:start w:val="1"/>
      <w:numFmt w:val="lowerLetter"/>
      <w:lvlText w:val="%8."/>
      <w:lvlJc w:val="left"/>
      <w:pPr>
        <w:ind w:left="5826" w:hanging="360"/>
      </w:pPr>
    </w:lvl>
    <w:lvl w:ilvl="8" w:tplc="7A1878B2" w:tentative="1">
      <w:start w:val="1"/>
      <w:numFmt w:val="lowerRoman"/>
      <w:lvlText w:val="%9."/>
      <w:lvlJc w:val="right"/>
      <w:pPr>
        <w:ind w:left="6546" w:hanging="180"/>
      </w:pPr>
    </w:lvl>
  </w:abstractNum>
  <w:abstractNum w:abstractNumId="1">
    <w:nsid w:val="0DFB0839"/>
    <w:multiLevelType w:val="hybridMultilevel"/>
    <w:tmpl w:val="42EA740C"/>
    <w:lvl w:ilvl="0" w:tplc="47641E52">
      <w:start w:val="1"/>
      <w:numFmt w:val="decimal"/>
      <w:lvlText w:val="%1."/>
      <w:lvlJc w:val="left"/>
      <w:pPr>
        <w:ind w:left="720" w:hanging="360"/>
      </w:pPr>
    </w:lvl>
    <w:lvl w:ilvl="1" w:tplc="A0BA6D36" w:tentative="1">
      <w:start w:val="1"/>
      <w:numFmt w:val="lowerLetter"/>
      <w:lvlText w:val="%2."/>
      <w:lvlJc w:val="left"/>
      <w:pPr>
        <w:ind w:left="1440" w:hanging="360"/>
      </w:pPr>
    </w:lvl>
    <w:lvl w:ilvl="2" w:tplc="2B34CDC0" w:tentative="1">
      <w:start w:val="1"/>
      <w:numFmt w:val="lowerRoman"/>
      <w:lvlText w:val="%3."/>
      <w:lvlJc w:val="right"/>
      <w:pPr>
        <w:ind w:left="2160" w:hanging="180"/>
      </w:pPr>
    </w:lvl>
    <w:lvl w:ilvl="3" w:tplc="D56412E6" w:tentative="1">
      <w:start w:val="1"/>
      <w:numFmt w:val="decimal"/>
      <w:lvlText w:val="%4."/>
      <w:lvlJc w:val="left"/>
      <w:pPr>
        <w:ind w:left="2880" w:hanging="360"/>
      </w:pPr>
    </w:lvl>
    <w:lvl w:ilvl="4" w:tplc="40F461F6" w:tentative="1">
      <w:start w:val="1"/>
      <w:numFmt w:val="lowerLetter"/>
      <w:lvlText w:val="%5."/>
      <w:lvlJc w:val="left"/>
      <w:pPr>
        <w:ind w:left="3600" w:hanging="360"/>
      </w:pPr>
    </w:lvl>
    <w:lvl w:ilvl="5" w:tplc="93B2A9FA" w:tentative="1">
      <w:start w:val="1"/>
      <w:numFmt w:val="lowerRoman"/>
      <w:lvlText w:val="%6."/>
      <w:lvlJc w:val="right"/>
      <w:pPr>
        <w:ind w:left="4320" w:hanging="180"/>
      </w:pPr>
    </w:lvl>
    <w:lvl w:ilvl="6" w:tplc="727CA318" w:tentative="1">
      <w:start w:val="1"/>
      <w:numFmt w:val="decimal"/>
      <w:lvlText w:val="%7."/>
      <w:lvlJc w:val="left"/>
      <w:pPr>
        <w:ind w:left="5040" w:hanging="360"/>
      </w:pPr>
    </w:lvl>
    <w:lvl w:ilvl="7" w:tplc="7F98854E" w:tentative="1">
      <w:start w:val="1"/>
      <w:numFmt w:val="lowerLetter"/>
      <w:lvlText w:val="%8."/>
      <w:lvlJc w:val="left"/>
      <w:pPr>
        <w:ind w:left="5760" w:hanging="360"/>
      </w:pPr>
    </w:lvl>
    <w:lvl w:ilvl="8" w:tplc="7122B962" w:tentative="1">
      <w:start w:val="1"/>
      <w:numFmt w:val="lowerRoman"/>
      <w:lvlText w:val="%9."/>
      <w:lvlJc w:val="right"/>
      <w:pPr>
        <w:ind w:left="6480" w:hanging="180"/>
      </w:pPr>
    </w:lvl>
  </w:abstractNum>
  <w:abstractNum w:abstractNumId="2">
    <w:nsid w:val="1832669B"/>
    <w:multiLevelType w:val="hybridMultilevel"/>
    <w:tmpl w:val="6DB050A0"/>
    <w:lvl w:ilvl="0" w:tplc="63E241F2">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67D93"/>
    <w:multiLevelType w:val="hybridMultilevel"/>
    <w:tmpl w:val="6DB050A0"/>
    <w:lvl w:ilvl="0" w:tplc="63E241F2">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65A77"/>
    <w:multiLevelType w:val="multilevel"/>
    <w:tmpl w:val="0CE29A98"/>
    <w:lvl w:ilvl="0">
      <w:start w:val="1"/>
      <w:numFmt w:val="decimal"/>
      <w:lvlText w:val="%1."/>
      <w:lvlJc w:val="left"/>
      <w:pPr>
        <w:ind w:left="720" w:hanging="360"/>
      </w:pPr>
      <w:rPr>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5AB33E92"/>
    <w:multiLevelType w:val="hybridMultilevel"/>
    <w:tmpl w:val="5FB64FF4"/>
    <w:lvl w:ilvl="0" w:tplc="1444B9E4">
      <w:start w:val="1"/>
      <w:numFmt w:val="decimal"/>
      <w:lvlText w:val="%1)"/>
      <w:lvlJc w:val="left"/>
      <w:pPr>
        <w:ind w:left="786" w:hanging="360"/>
      </w:pPr>
      <w:rPr>
        <w:rFonts w:hint="default"/>
      </w:rPr>
    </w:lvl>
    <w:lvl w:ilvl="1" w:tplc="EE12D068" w:tentative="1">
      <w:start w:val="1"/>
      <w:numFmt w:val="lowerLetter"/>
      <w:lvlText w:val="%2."/>
      <w:lvlJc w:val="left"/>
      <w:pPr>
        <w:ind w:left="1506" w:hanging="360"/>
      </w:pPr>
    </w:lvl>
    <w:lvl w:ilvl="2" w:tplc="E216F456" w:tentative="1">
      <w:start w:val="1"/>
      <w:numFmt w:val="lowerRoman"/>
      <w:lvlText w:val="%3."/>
      <w:lvlJc w:val="right"/>
      <w:pPr>
        <w:ind w:left="2226" w:hanging="180"/>
      </w:pPr>
    </w:lvl>
    <w:lvl w:ilvl="3" w:tplc="2EE68F24" w:tentative="1">
      <w:start w:val="1"/>
      <w:numFmt w:val="decimal"/>
      <w:lvlText w:val="%4."/>
      <w:lvlJc w:val="left"/>
      <w:pPr>
        <w:ind w:left="2946" w:hanging="360"/>
      </w:pPr>
    </w:lvl>
    <w:lvl w:ilvl="4" w:tplc="CB02A9BC" w:tentative="1">
      <w:start w:val="1"/>
      <w:numFmt w:val="lowerLetter"/>
      <w:lvlText w:val="%5."/>
      <w:lvlJc w:val="left"/>
      <w:pPr>
        <w:ind w:left="3666" w:hanging="360"/>
      </w:pPr>
    </w:lvl>
    <w:lvl w:ilvl="5" w:tplc="2B32706E" w:tentative="1">
      <w:start w:val="1"/>
      <w:numFmt w:val="lowerRoman"/>
      <w:lvlText w:val="%6."/>
      <w:lvlJc w:val="right"/>
      <w:pPr>
        <w:ind w:left="4386" w:hanging="180"/>
      </w:pPr>
    </w:lvl>
    <w:lvl w:ilvl="6" w:tplc="85EE8AF8" w:tentative="1">
      <w:start w:val="1"/>
      <w:numFmt w:val="decimal"/>
      <w:lvlText w:val="%7."/>
      <w:lvlJc w:val="left"/>
      <w:pPr>
        <w:ind w:left="5106" w:hanging="360"/>
      </w:pPr>
    </w:lvl>
    <w:lvl w:ilvl="7" w:tplc="B684871A" w:tentative="1">
      <w:start w:val="1"/>
      <w:numFmt w:val="lowerLetter"/>
      <w:lvlText w:val="%8."/>
      <w:lvlJc w:val="left"/>
      <w:pPr>
        <w:ind w:left="5826" w:hanging="360"/>
      </w:pPr>
    </w:lvl>
    <w:lvl w:ilvl="8" w:tplc="7A1878B2" w:tentative="1">
      <w:start w:val="1"/>
      <w:numFmt w:val="lowerRoman"/>
      <w:lvlText w:val="%9."/>
      <w:lvlJc w:val="right"/>
      <w:pPr>
        <w:ind w:left="6546"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E3"/>
    <w:rsid w:val="00081AD2"/>
    <w:rsid w:val="001806AB"/>
    <w:rsid w:val="00181F60"/>
    <w:rsid w:val="00190DD8"/>
    <w:rsid w:val="0019162D"/>
    <w:rsid w:val="001C2B64"/>
    <w:rsid w:val="001C2E4F"/>
    <w:rsid w:val="001F11E3"/>
    <w:rsid w:val="002D5F2B"/>
    <w:rsid w:val="002D6E3A"/>
    <w:rsid w:val="002F5D59"/>
    <w:rsid w:val="00451023"/>
    <w:rsid w:val="00454F40"/>
    <w:rsid w:val="0048133E"/>
    <w:rsid w:val="00482CE5"/>
    <w:rsid w:val="004A42F2"/>
    <w:rsid w:val="004B223B"/>
    <w:rsid w:val="00542E2A"/>
    <w:rsid w:val="005618A7"/>
    <w:rsid w:val="005F1D8B"/>
    <w:rsid w:val="00613574"/>
    <w:rsid w:val="00647BB5"/>
    <w:rsid w:val="00712F9A"/>
    <w:rsid w:val="00783521"/>
    <w:rsid w:val="0079451E"/>
    <w:rsid w:val="007E6546"/>
    <w:rsid w:val="0082386E"/>
    <w:rsid w:val="00856DC2"/>
    <w:rsid w:val="0086043D"/>
    <w:rsid w:val="0090108C"/>
    <w:rsid w:val="00960CBD"/>
    <w:rsid w:val="00966B50"/>
    <w:rsid w:val="00A53C34"/>
    <w:rsid w:val="00A67706"/>
    <w:rsid w:val="00AC1CA7"/>
    <w:rsid w:val="00AC4241"/>
    <w:rsid w:val="00AE31CE"/>
    <w:rsid w:val="00B06ABB"/>
    <w:rsid w:val="00B154CC"/>
    <w:rsid w:val="00B50F09"/>
    <w:rsid w:val="00BB5137"/>
    <w:rsid w:val="00C25EE5"/>
    <w:rsid w:val="00C501B0"/>
    <w:rsid w:val="00CB3245"/>
    <w:rsid w:val="00CE4088"/>
    <w:rsid w:val="00D14740"/>
    <w:rsid w:val="00D401E9"/>
    <w:rsid w:val="00D85F4F"/>
    <w:rsid w:val="00DF51D9"/>
    <w:rsid w:val="00E04C91"/>
    <w:rsid w:val="00E453F7"/>
    <w:rsid w:val="00E801B7"/>
    <w:rsid w:val="00F460B8"/>
    <w:rsid w:val="00F57972"/>
    <w:rsid w:val="00F94D6C"/>
    <w:rsid w:val="00FF04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enceNormal">
    <w:name w:val="DefenceNormal"/>
    <w:link w:val="DefenceNormalChar"/>
    <w:rsid w:val="0086043D"/>
    <w:pPr>
      <w:spacing w:line="240" w:lineRule="auto"/>
    </w:pPr>
    <w:rPr>
      <w:rFonts w:ascii="Times New Roman" w:eastAsia="Times New Roman" w:hAnsi="Times New Roman" w:cs="Times New Roman"/>
      <w:sz w:val="20"/>
      <w:szCs w:val="20"/>
      <w:lang w:val="en-AU"/>
    </w:rPr>
  </w:style>
  <w:style w:type="character" w:customStyle="1" w:styleId="DefenceNormalChar">
    <w:name w:val="DefenceNormal Char"/>
    <w:link w:val="DefenceNormal"/>
    <w:rsid w:val="0086043D"/>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454F40"/>
    <w:pPr>
      <w:ind w:left="720"/>
      <w:contextualSpacing/>
    </w:pPr>
  </w:style>
  <w:style w:type="character" w:customStyle="1" w:styleId="preparersnote">
    <w:name w:val="preparer's note"/>
    <w:basedOn w:val="DefaultParagraphFont"/>
    <w:rsid w:val="005F1D8B"/>
    <w:rPr>
      <w:b/>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enceNormal">
    <w:name w:val="DefenceNormal"/>
    <w:link w:val="DefenceNormalChar"/>
    <w:rsid w:val="0086043D"/>
    <w:pPr>
      <w:spacing w:line="240" w:lineRule="auto"/>
    </w:pPr>
    <w:rPr>
      <w:rFonts w:ascii="Times New Roman" w:eastAsia="Times New Roman" w:hAnsi="Times New Roman" w:cs="Times New Roman"/>
      <w:sz w:val="20"/>
      <w:szCs w:val="20"/>
      <w:lang w:val="en-AU"/>
    </w:rPr>
  </w:style>
  <w:style w:type="character" w:customStyle="1" w:styleId="DefenceNormalChar">
    <w:name w:val="DefenceNormal Char"/>
    <w:link w:val="DefenceNormal"/>
    <w:rsid w:val="0086043D"/>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454F40"/>
    <w:pPr>
      <w:ind w:left="720"/>
      <w:contextualSpacing/>
    </w:pPr>
  </w:style>
  <w:style w:type="character" w:customStyle="1" w:styleId="preparersnote">
    <w:name w:val="preparer's note"/>
    <w:basedOn w:val="DefaultParagraphFont"/>
    <w:rsid w:val="005F1D8B"/>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Atef</dc:creator>
  <cp:keywords/>
  <dc:description/>
  <cp:lastModifiedBy>Atef</cp:lastModifiedBy>
  <cp:revision>20</cp:revision>
  <dcterms:created xsi:type="dcterms:W3CDTF">2022-08-08T11:12:00Z</dcterms:created>
  <dcterms:modified xsi:type="dcterms:W3CDTF">2023-07-13T06:14:00Z</dcterms:modified>
</cp:coreProperties>
</file>