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E9EE" w14:textId="77777777" w:rsidR="000D18A8" w:rsidRDefault="00B51702" w:rsidP="000D18A8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  <w:r w:rsidRPr="009F75E5">
        <w:rPr>
          <w:rFonts w:ascii="Arial" w:eastAsia="Times New Roman" w:hAnsi="Arial" w:cs="Arial"/>
          <w:b/>
          <w:bCs/>
          <w:sz w:val="24"/>
          <w:szCs w:val="20"/>
          <w:lang w:val="en-GB"/>
        </w:rPr>
        <w:t>Project:</w:t>
      </w:r>
      <w:r w:rsidRPr="009F75E5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 </w:t>
      </w:r>
      <w:r w:rsidRPr="009F75E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Integrated Solid Waste Management Programme II Kakheti and Samegrelo-Zemo Svaneti Regions, Georgia </w:t>
      </w:r>
    </w:p>
    <w:p w14:paraId="734E4146" w14:textId="77777777" w:rsidR="00F1009C" w:rsidRDefault="00F1009C" w:rsidP="00F1009C">
      <w:pPr>
        <w:spacing w:after="18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  <w:r w:rsidRPr="009F75E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Contract Title: Construction of New Zugdidi Landfill and Closure of Existing Zugdidi Landfill. The construction of a new Zugdidi Landfill </w:t>
      </w:r>
    </w:p>
    <w:p w14:paraId="1C2B1756" w14:textId="77777777" w:rsidR="000D18A8" w:rsidRPr="009F75E5" w:rsidRDefault="000D18A8" w:rsidP="000D18A8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  <w:r w:rsidRPr="009F75E5">
        <w:rPr>
          <w:rFonts w:ascii="Arial" w:eastAsia="Times New Roman" w:hAnsi="Arial" w:cs="Arial"/>
          <w:b/>
          <w:bCs/>
          <w:sz w:val="24"/>
          <w:szCs w:val="20"/>
          <w:lang w:val="en-GB"/>
        </w:rPr>
        <w:t>KfW No.: 509333</w:t>
      </w:r>
    </w:p>
    <w:p w14:paraId="3C2B104A" w14:textId="77777777" w:rsidR="000D18A8" w:rsidRPr="009F75E5" w:rsidRDefault="000D18A8" w:rsidP="000D18A8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  <w:r w:rsidRPr="009F75E5">
        <w:rPr>
          <w:rFonts w:ascii="Arial" w:eastAsia="Times New Roman" w:hAnsi="Arial" w:cs="Arial"/>
          <w:b/>
          <w:bCs/>
          <w:sz w:val="24"/>
          <w:szCs w:val="20"/>
          <w:lang w:val="en-GB"/>
        </w:rPr>
        <w:t>ICB No.: ICB/W/SZS/01</w:t>
      </w:r>
      <w:r w:rsidRPr="009F75E5" w:rsidDel="00BB40F2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</w:p>
    <w:p w14:paraId="5B1CBCC0" w14:textId="77777777" w:rsidR="009F75E5" w:rsidRDefault="009F75E5" w:rsidP="009F75E5">
      <w:pPr>
        <w:spacing w:after="18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</w:p>
    <w:p w14:paraId="7881F1BB" w14:textId="77777777" w:rsidR="009F75E5" w:rsidRDefault="009F75E5" w:rsidP="009F75E5">
      <w:pPr>
        <w:spacing w:after="18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</w:p>
    <w:p w14:paraId="2C2386ED" w14:textId="77777777" w:rsidR="009F75E5" w:rsidRPr="009F75E5" w:rsidRDefault="009F75E5" w:rsidP="009F75E5">
      <w:pPr>
        <w:spacing w:after="18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  <w:r w:rsidRPr="009F75E5">
        <w:rPr>
          <w:rFonts w:ascii="Arial" w:eastAsia="Times New Roman" w:hAnsi="Arial" w:cs="Arial"/>
          <w:b/>
          <w:bCs/>
          <w:sz w:val="24"/>
          <w:szCs w:val="20"/>
          <w:lang w:val="en-GB"/>
        </w:rPr>
        <w:t>Statement of Bidders' Inquiries and the Responses</w:t>
      </w:r>
    </w:p>
    <w:p w14:paraId="69FBEC77" w14:textId="77777777" w:rsidR="009F75E5" w:rsidRPr="009F75E5" w:rsidRDefault="009F75E5" w:rsidP="00F1009C">
      <w:pPr>
        <w:spacing w:after="18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</w:p>
    <w:p w14:paraId="00AB7E2E" w14:textId="77777777" w:rsidR="009F75E5" w:rsidRPr="00F1009C" w:rsidRDefault="00F1009C" w:rsidP="009F75E5">
      <w:pPr>
        <w:spacing w:after="180" w:line="240" w:lineRule="auto"/>
        <w:jc w:val="center"/>
        <w:rPr>
          <w:rFonts w:asciiTheme="minorBidi" w:eastAsia="Times New Roman" w:hAnsiTheme="minorBidi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br w:type="page"/>
      </w:r>
    </w:p>
    <w:p w14:paraId="4E14623B" w14:textId="77777777" w:rsidR="00F1009C" w:rsidRPr="003C4369" w:rsidRDefault="00F1009C" w:rsidP="00F1009C">
      <w:pPr>
        <w:spacing w:after="180" w:line="240" w:lineRule="auto"/>
        <w:jc w:val="center"/>
        <w:rPr>
          <w:rFonts w:asciiTheme="minorBidi" w:eastAsia="Times New Roman" w:hAnsiTheme="minorBidi"/>
          <w:b/>
          <w:bCs/>
          <w:sz w:val="24"/>
          <w:szCs w:val="20"/>
          <w:lang w:val="en-GB"/>
        </w:rPr>
      </w:pPr>
      <w:r w:rsidRPr="003C4369">
        <w:rPr>
          <w:rFonts w:asciiTheme="minorBidi" w:eastAsia="Times New Roman" w:hAnsiTheme="minorBidi"/>
          <w:b/>
          <w:bCs/>
          <w:sz w:val="24"/>
          <w:szCs w:val="20"/>
          <w:lang w:val="en-GB"/>
        </w:rPr>
        <w:lastRenderedPageBreak/>
        <w:t>Statement of Bidders' Inquiries and the Responses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4536"/>
      </w:tblGrid>
      <w:tr w:rsidR="00F1009C" w:rsidRPr="00F1009C" w14:paraId="3CDD3B15" w14:textId="77777777" w:rsidTr="00F1009C">
        <w:tc>
          <w:tcPr>
            <w:tcW w:w="709" w:type="dxa"/>
            <w:vAlign w:val="center"/>
          </w:tcPr>
          <w:p w14:paraId="7F096220" w14:textId="77777777" w:rsidR="00F1009C" w:rsidRPr="009F75E5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GB"/>
              </w:rPr>
            </w:pPr>
            <w:r w:rsidRPr="009F75E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GB"/>
              </w:rPr>
              <w:t>S.N.</w:t>
            </w:r>
          </w:p>
        </w:tc>
        <w:tc>
          <w:tcPr>
            <w:tcW w:w="5104" w:type="dxa"/>
            <w:vAlign w:val="center"/>
          </w:tcPr>
          <w:p w14:paraId="26065220" w14:textId="77777777" w:rsidR="00F1009C" w:rsidRPr="009F75E5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GB"/>
              </w:rPr>
            </w:pPr>
            <w:r w:rsidRPr="009F75E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GB"/>
              </w:rPr>
              <w:t>Bidders' Inquiries</w:t>
            </w:r>
          </w:p>
        </w:tc>
        <w:tc>
          <w:tcPr>
            <w:tcW w:w="4536" w:type="dxa"/>
            <w:vAlign w:val="center"/>
          </w:tcPr>
          <w:p w14:paraId="5B8949B3" w14:textId="77777777" w:rsidR="00F1009C" w:rsidRPr="009F75E5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GB"/>
              </w:rPr>
            </w:pPr>
            <w:r w:rsidRPr="009F75E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GB"/>
              </w:rPr>
              <w:t>The Responses</w:t>
            </w:r>
          </w:p>
        </w:tc>
      </w:tr>
      <w:tr w:rsidR="00F1009C" w:rsidRPr="00F1009C" w14:paraId="32CB2CF8" w14:textId="77777777" w:rsidTr="00F1009C">
        <w:tc>
          <w:tcPr>
            <w:tcW w:w="709" w:type="dxa"/>
            <w:vAlign w:val="center"/>
          </w:tcPr>
          <w:p w14:paraId="0E30736B" w14:textId="77777777" w:rsidR="00F1009C" w:rsidRPr="00F1009C" w:rsidRDefault="00F1009C" w:rsidP="00F100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14:paraId="73C87ABA" w14:textId="77777777" w:rsidR="00F1009C" w:rsidRPr="00F1009C" w:rsidRDefault="00F1009C" w:rsidP="00855353">
            <w:pPr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In the Qualification and Bidding Procedures document (pg. 41), ITB 11.1 (a)(vi), second and fourth articles are not understood. Does it only for local tenderers? Could you please clarify?</w:t>
            </w:r>
          </w:p>
        </w:tc>
        <w:tc>
          <w:tcPr>
            <w:tcW w:w="4536" w:type="dxa"/>
          </w:tcPr>
          <w:p w14:paraId="6D192DE0" w14:textId="77777777" w:rsidR="00CC6BC1" w:rsidRPr="00CC6BC1" w:rsidRDefault="00F1009C" w:rsidP="00CC6BC1">
            <w:pPr>
              <w:pStyle w:val="ListParagraph"/>
              <w:numPr>
                <w:ilvl w:val="0"/>
                <w:numId w:val="2"/>
              </w:numPr>
              <w:spacing w:after="180"/>
              <w:ind w:left="175" w:hanging="142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Regarding article 2 </w:t>
            </w:r>
            <w:r w:rsid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- </w:t>
            </w:r>
            <w:r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This is </w:t>
            </w:r>
            <w:r w:rsidR="004B02D7"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only </w:t>
            </w:r>
            <w:r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for the local agent, if the local </w:t>
            </w:r>
            <w:r w:rsidR="004B02D7"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agent submits</w:t>
            </w:r>
            <w:r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a bid on behalf of a foreign bidder</w:t>
            </w:r>
            <w:r w:rsidR="004B02D7"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.</w:t>
            </w:r>
          </w:p>
          <w:p w14:paraId="7A01D166" w14:textId="77777777" w:rsidR="00CC6BC1" w:rsidRPr="00CC6BC1" w:rsidRDefault="00CC6BC1" w:rsidP="00AC1479">
            <w:pPr>
              <w:pStyle w:val="ListParagraph"/>
              <w:numPr>
                <w:ilvl w:val="0"/>
                <w:numId w:val="2"/>
              </w:numPr>
              <w:spacing w:after="180"/>
              <w:ind w:left="175" w:hanging="142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CC6BC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Regarding article 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4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softHyphen/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softHyphen/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softHyphen/>
              <w:t xml:space="preserve">- This is for local bidders. However, </w:t>
            </w:r>
            <w:r w:rsidR="00AC1479" w:rsidRPr="00AC1479">
              <w:rPr>
                <w:rFonts w:asciiTheme="minorBidi" w:eastAsia="Times New Roman" w:hAnsiTheme="minorBidi"/>
                <w:sz w:val="20"/>
                <w:szCs w:val="20"/>
              </w:rPr>
              <w:t>foreign bidders must submit a comparable certificate that serves as evidence of their tax payment in their respective countries.</w:t>
            </w:r>
          </w:p>
        </w:tc>
      </w:tr>
      <w:tr w:rsidR="00F1009C" w:rsidRPr="00F1009C" w14:paraId="41B42707" w14:textId="77777777" w:rsidTr="00F1009C">
        <w:tc>
          <w:tcPr>
            <w:tcW w:w="709" w:type="dxa"/>
            <w:vAlign w:val="center"/>
          </w:tcPr>
          <w:p w14:paraId="3788E3C3" w14:textId="77777777" w:rsidR="00F1009C" w:rsidRPr="00F1009C" w:rsidRDefault="00F1009C" w:rsidP="00F100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14:paraId="19967620" w14:textId="77777777" w:rsidR="00F1009C" w:rsidRPr="00F1009C" w:rsidRDefault="00F1009C" w:rsidP="00855353">
            <w:pPr>
              <w:rPr>
                <w:rFonts w:asciiTheme="minorBidi" w:hAnsiTheme="minorBidi"/>
                <w:sz w:val="20"/>
                <w:szCs w:val="20"/>
                <w:lang w:bidi="ar-EG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In Exficon’s website, this tender doesn’t exists, so that we are not able to register on it. Could you please check and clarify?</w:t>
            </w:r>
          </w:p>
        </w:tc>
        <w:tc>
          <w:tcPr>
            <w:tcW w:w="4536" w:type="dxa"/>
          </w:tcPr>
          <w:p w14:paraId="3C3E6BA3" w14:textId="77777777" w:rsidR="00F1009C" w:rsidRPr="009F75E5" w:rsidRDefault="009F75E5" w:rsidP="00AC1479">
            <w:pPr>
              <w:spacing w:after="180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The tender </w:t>
            </w:r>
            <w:r w:rsidR="00AC1479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has been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booked on the Exficon website. </w:t>
            </w:r>
            <w:r w:rsidRPr="009F75E5">
              <w:rPr>
                <w:rFonts w:asciiTheme="minorBidi" w:eastAsia="Times New Roman" w:hAnsiTheme="minorBidi"/>
                <w:sz w:val="20"/>
                <w:szCs w:val="20"/>
              </w:rPr>
              <w:t xml:space="preserve">Bidders are requested to nominate one dedicated contact person (name, email address and phone number). The nomination shall be sent to the </w:t>
            </w:r>
            <w:r w:rsidRPr="009F75E5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SWMCG</w:t>
            </w:r>
            <w:r w:rsidRPr="009F75E5">
              <w:rPr>
                <w:rFonts w:asciiTheme="minorBidi" w:eastAsia="Times New Roman" w:hAnsiTheme="minorBidi"/>
                <w:sz w:val="20"/>
                <w:szCs w:val="20"/>
              </w:rPr>
              <w:t xml:space="preserve"> via email (</w:t>
            </w:r>
            <w:hyperlink r:id="rId7" w:history="1">
              <w:r w:rsidRPr="009F75E5">
                <w:rPr>
                  <w:rStyle w:val="Hyperlink"/>
                  <w:rFonts w:asciiTheme="minorBidi" w:eastAsia="Times New Roman" w:hAnsiTheme="minorBidi"/>
                  <w:sz w:val="20"/>
                  <w:szCs w:val="20"/>
                  <w:lang w:val="en-GB"/>
                </w:rPr>
                <w:t>t.dzimistarishvili@hotmail.com</w:t>
              </w:r>
            </w:hyperlink>
            <w:r w:rsidRPr="009F75E5">
              <w:rPr>
                <w:rFonts w:asciiTheme="minorBidi" w:eastAsia="Times New Roman" w:hAnsiTheme="minorBidi"/>
                <w:sz w:val="20"/>
                <w:szCs w:val="20"/>
              </w:rPr>
              <w:t>)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. </w:t>
            </w:r>
            <w:r w:rsidRPr="009F75E5">
              <w:rPr>
                <w:rFonts w:asciiTheme="minorBidi" w:eastAsia="Times New Roman" w:hAnsiTheme="minorBidi"/>
                <w:sz w:val="20"/>
                <w:szCs w:val="20"/>
              </w:rPr>
              <w:t>The details of the nominated individuals shall be used to set up an e-procurement system for this tender submission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  <w:r w:rsidR="00CC6BC1">
              <w:rPr>
                <w:rFonts w:asciiTheme="minorBidi" w:eastAsia="Times New Roman" w:hAnsiTheme="minorBidi"/>
                <w:sz w:val="20"/>
                <w:szCs w:val="20"/>
              </w:rPr>
              <w:t xml:space="preserve"> The </w:t>
            </w:r>
            <w:r w:rsidR="00AC1479" w:rsidRPr="00AC1479">
              <w:rPr>
                <w:rFonts w:asciiTheme="minorBidi" w:eastAsia="Times New Roman" w:hAnsiTheme="minorBidi"/>
                <w:sz w:val="20"/>
                <w:szCs w:val="20"/>
              </w:rPr>
              <w:t xml:space="preserve">nominated individuals </w:t>
            </w:r>
            <w:r w:rsidR="00AC1479">
              <w:rPr>
                <w:rFonts w:asciiTheme="minorBidi" w:eastAsia="Times New Roman" w:hAnsiTheme="minorBidi"/>
                <w:sz w:val="20"/>
                <w:szCs w:val="20"/>
              </w:rPr>
              <w:t>(</w:t>
            </w:r>
            <w:r w:rsidR="00CC6BC1">
              <w:rPr>
                <w:rFonts w:asciiTheme="minorBidi" w:eastAsia="Times New Roman" w:hAnsiTheme="minorBidi"/>
                <w:sz w:val="20"/>
                <w:szCs w:val="20"/>
              </w:rPr>
              <w:t>bidders</w:t>
            </w:r>
            <w:r w:rsidR="00AC1479">
              <w:t>)</w:t>
            </w:r>
            <w:r w:rsidR="00CC6BC1">
              <w:t xml:space="preserve"> </w:t>
            </w:r>
            <w:r w:rsidR="00CC6BC1" w:rsidRPr="00CC6BC1">
              <w:rPr>
                <w:rFonts w:asciiTheme="minorBidi" w:eastAsia="Times New Roman" w:hAnsiTheme="minorBidi"/>
                <w:sz w:val="20"/>
                <w:szCs w:val="20"/>
              </w:rPr>
              <w:t>will receive an automated email with a personalized login</w:t>
            </w:r>
            <w:r w:rsidR="00CC6BC1">
              <w:rPr>
                <w:rFonts w:asciiTheme="minorBidi" w:eastAsia="Times New Roman" w:hAnsiTheme="minorBidi"/>
                <w:sz w:val="20"/>
                <w:szCs w:val="20"/>
              </w:rPr>
              <w:t xml:space="preserve">. </w:t>
            </w:r>
          </w:p>
        </w:tc>
      </w:tr>
      <w:tr w:rsidR="00F1009C" w:rsidRPr="00F1009C" w14:paraId="2EA1F1ED" w14:textId="77777777" w:rsidTr="00F1009C">
        <w:tc>
          <w:tcPr>
            <w:tcW w:w="709" w:type="dxa"/>
            <w:vAlign w:val="center"/>
          </w:tcPr>
          <w:p w14:paraId="374A1714" w14:textId="77777777" w:rsidR="00F1009C" w:rsidRPr="00F1009C" w:rsidRDefault="00F1009C" w:rsidP="00F100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14:paraId="30642472" w14:textId="77777777" w:rsidR="00F1009C" w:rsidRPr="00F1009C" w:rsidRDefault="00F1009C" w:rsidP="00855353">
            <w:pPr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Could you please share excel format of the BOQ?</w:t>
            </w:r>
          </w:p>
        </w:tc>
        <w:tc>
          <w:tcPr>
            <w:tcW w:w="4536" w:type="dxa"/>
          </w:tcPr>
          <w:p w14:paraId="0CD6FC83" w14:textId="77777777" w:rsidR="00F1009C" w:rsidRPr="00F1009C" w:rsidRDefault="003C4369" w:rsidP="003C4369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The Bill of Quantities in Excel format is attached to this statement. </w:t>
            </w:r>
          </w:p>
        </w:tc>
      </w:tr>
      <w:tr w:rsidR="00F1009C" w:rsidRPr="00F1009C" w14:paraId="6A082E99" w14:textId="77777777" w:rsidTr="00F1009C">
        <w:tc>
          <w:tcPr>
            <w:tcW w:w="709" w:type="dxa"/>
            <w:vAlign w:val="center"/>
          </w:tcPr>
          <w:p w14:paraId="15CADDC1" w14:textId="77777777" w:rsidR="00F1009C" w:rsidRPr="00F1009C" w:rsidRDefault="00F1009C" w:rsidP="00F100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14:paraId="22A9E19F" w14:textId="77777777" w:rsidR="00F1009C" w:rsidRPr="00F1009C" w:rsidRDefault="00F1009C" w:rsidP="00855353">
            <w:pPr>
              <w:rPr>
                <w:rFonts w:asciiTheme="minorBidi" w:hAnsiTheme="minorBidi"/>
                <w:sz w:val="20"/>
                <w:szCs w:val="20"/>
              </w:rPr>
            </w:pPr>
            <w:r w:rsidRPr="00F1009C">
              <w:rPr>
                <w:rFonts w:asciiTheme="minorBidi" w:hAnsiTheme="minorBidi"/>
                <w:sz w:val="20"/>
                <w:szCs w:val="20"/>
              </w:rPr>
              <w:t>While using Exchange rate for monetary issues, do we have to use our own central bank’s rate? or are you going to specify any other central bank?</w:t>
            </w:r>
          </w:p>
        </w:tc>
        <w:tc>
          <w:tcPr>
            <w:tcW w:w="4536" w:type="dxa"/>
          </w:tcPr>
          <w:p w14:paraId="6A41668D" w14:textId="77777777" w:rsidR="003C4369" w:rsidRPr="00F1009C" w:rsidRDefault="000D18A8" w:rsidP="000D18A8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Please r</w:t>
            </w:r>
            <w:r w:rsidR="00DD7D9D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efer to Addendum No.1 to the bidding documents.</w:t>
            </w:r>
          </w:p>
        </w:tc>
      </w:tr>
      <w:tr w:rsidR="00F1009C" w:rsidRPr="00F1009C" w14:paraId="567508F1" w14:textId="77777777" w:rsidTr="00F1009C">
        <w:tc>
          <w:tcPr>
            <w:tcW w:w="709" w:type="dxa"/>
            <w:vAlign w:val="center"/>
          </w:tcPr>
          <w:p w14:paraId="56F09BB1" w14:textId="77777777" w:rsidR="00F1009C" w:rsidRPr="00F1009C" w:rsidRDefault="00346E99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5</w:t>
            </w:r>
          </w:p>
        </w:tc>
        <w:tc>
          <w:tcPr>
            <w:tcW w:w="5104" w:type="dxa"/>
          </w:tcPr>
          <w:p w14:paraId="6791B5A8" w14:textId="77777777" w:rsidR="00B00A52" w:rsidRPr="00B00A52" w:rsidRDefault="00B00A52" w:rsidP="00B00A52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B00A52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Due to the summer holiday time in EU most of west European companies are temporary out of work, our partner’s office is closed for 2 weeks in August.</w:t>
            </w:r>
          </w:p>
          <w:p w14:paraId="5BF2DE7F" w14:textId="77777777" w:rsidR="00F1009C" w:rsidRPr="00F1009C" w:rsidRDefault="00B00A52" w:rsidP="00B00A52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B00A52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I am kindly asking to postpone the date for submission of the bid documentation for 4 weeks, until 13 September 2023.</w:t>
            </w:r>
          </w:p>
        </w:tc>
        <w:tc>
          <w:tcPr>
            <w:tcW w:w="4536" w:type="dxa"/>
          </w:tcPr>
          <w:p w14:paraId="207F62D9" w14:textId="77777777" w:rsidR="00F1009C" w:rsidRDefault="0051489B" w:rsidP="00AC1479">
            <w:pPr>
              <w:spacing w:after="180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The deadline for bid submission has been extended till 4</w:t>
            </w:r>
            <w:r w:rsidRPr="0051489B">
              <w:rPr>
                <w:rFonts w:asciiTheme="minorBidi" w:eastAsia="Times New Roman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of August, 2023. </w:t>
            </w:r>
          </w:p>
          <w:p w14:paraId="0F4EA0A1" w14:textId="48518773" w:rsidR="00F363AF" w:rsidRPr="00AC1479" w:rsidRDefault="00F363AF" w:rsidP="00AC1479">
            <w:pPr>
              <w:spacing w:after="180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Please refer to Addendum No.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2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to the bidding documents.</w:t>
            </w:r>
          </w:p>
        </w:tc>
      </w:tr>
      <w:tr w:rsidR="00F1009C" w:rsidRPr="00F1009C" w14:paraId="27B83831" w14:textId="77777777" w:rsidTr="00F1009C">
        <w:tc>
          <w:tcPr>
            <w:tcW w:w="709" w:type="dxa"/>
            <w:vAlign w:val="center"/>
          </w:tcPr>
          <w:p w14:paraId="62E4F830" w14:textId="77777777" w:rsidR="00F1009C" w:rsidRPr="00F1009C" w:rsidRDefault="00913079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6</w:t>
            </w:r>
          </w:p>
        </w:tc>
        <w:tc>
          <w:tcPr>
            <w:tcW w:w="5104" w:type="dxa"/>
          </w:tcPr>
          <w:p w14:paraId="05124632" w14:textId="77777777" w:rsidR="00E676CA" w:rsidRPr="00E676CA" w:rsidRDefault="00E676CA" w:rsidP="00E676CA">
            <w:pPr>
              <w:spacing w:after="180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sz w:val="20"/>
                <w:szCs w:val="20"/>
              </w:rPr>
              <w:t>According to the PART 1: Qualification and Bidding Procedures, each member of the JV must meet the requirements of the </w:t>
            </w:r>
            <w:r w:rsidRPr="00E676C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“Section III. Qualification and Evaluation Criteria, 3.3 Financial Capabilities: Financial Position”.</w:t>
            </w:r>
          </w:p>
          <w:p w14:paraId="291BB033" w14:textId="77777777" w:rsidR="00E676CA" w:rsidRPr="00E676CA" w:rsidRDefault="00E676CA" w:rsidP="00BB58C5">
            <w:pPr>
              <w:spacing w:after="120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(iii) The audited financial statements or, if not required by the laws of the Bidder’s country, other financial statements acceptable to the Employer, for the last 5 years (2018,2019,2020,2021,2022) years shall be submitted and must demonstrate the current soundness of the Bidder’s financial position based on the following criteria:</w:t>
            </w:r>
          </w:p>
          <w:p w14:paraId="26436BAC" w14:textId="77777777" w:rsidR="00E676CA" w:rsidRPr="00E676CA" w:rsidRDefault="00E676CA" w:rsidP="00BB58C5">
            <w:pPr>
              <w:pStyle w:val="ListParagraph"/>
              <w:numPr>
                <w:ilvl w:val="0"/>
                <w:numId w:val="4"/>
              </w:numPr>
              <w:spacing w:after="120"/>
              <w:ind w:left="318" w:hanging="284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Liquidity ratio ≥ 1.1</w:t>
            </w:r>
          </w:p>
          <w:p w14:paraId="0386627B" w14:textId="77777777" w:rsidR="00E676CA" w:rsidRPr="00E676CA" w:rsidRDefault="00E676CA" w:rsidP="00BB58C5">
            <w:pPr>
              <w:spacing w:after="120"/>
              <w:ind w:firstLine="318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Current Assets / Current</w:t>
            </w:r>
            <w:r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 xml:space="preserve"> </w:t>
            </w: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Liabilities ≥ 1.1</w:t>
            </w:r>
          </w:p>
          <w:p w14:paraId="557CB69D" w14:textId="77777777" w:rsidR="00E676CA" w:rsidRPr="00E676CA" w:rsidRDefault="00E676CA" w:rsidP="00BB58C5">
            <w:pPr>
              <w:spacing w:after="120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b) Indebtedness ratio ≤ 80%</w:t>
            </w:r>
          </w:p>
          <w:p w14:paraId="2C768C23" w14:textId="77777777" w:rsidR="00E676CA" w:rsidRPr="00E676CA" w:rsidRDefault="00E676CA" w:rsidP="00BB58C5">
            <w:pPr>
              <w:spacing w:after="120"/>
              <w:ind w:firstLine="318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lastRenderedPageBreak/>
              <w:t>Total Liabilities</w:t>
            </w:r>
            <w:r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/</w:t>
            </w: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Total Assets</w:t>
            </w:r>
            <w:r w:rsidRPr="00E676CA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  <w:t xml:space="preserve"> ∗</w:t>
            </w:r>
            <w:r w:rsidRPr="00E676CA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 100 ≤ 80%</w:t>
            </w:r>
          </w:p>
          <w:p w14:paraId="5AEAF228" w14:textId="77777777" w:rsidR="00E676CA" w:rsidRPr="00E676CA" w:rsidRDefault="00E676CA" w:rsidP="00BB58C5">
            <w:pPr>
              <w:spacing w:after="120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sz w:val="20"/>
                <w:szCs w:val="20"/>
              </w:rPr>
              <w:t>Do to the COVID19 the financial figures of the year 2020 are not positive and the local Georgian companies have trouble to meet those requirements.</w:t>
            </w:r>
          </w:p>
          <w:p w14:paraId="0258C166" w14:textId="77777777" w:rsidR="00E676CA" w:rsidRPr="00E676CA" w:rsidRDefault="00E676CA" w:rsidP="00BB58C5">
            <w:pPr>
              <w:spacing w:after="120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sz w:val="20"/>
                <w:szCs w:val="20"/>
              </w:rPr>
              <w:t>So, it is not possible to have the local companies in the JV.</w:t>
            </w:r>
          </w:p>
          <w:p w14:paraId="220029DE" w14:textId="77777777" w:rsidR="00F1009C" w:rsidRPr="00E676CA" w:rsidRDefault="00E676CA" w:rsidP="00BB58C5">
            <w:pPr>
              <w:spacing w:after="120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676CA">
              <w:rPr>
                <w:rFonts w:asciiTheme="minorBidi" w:eastAsia="Times New Roman" w:hAnsiTheme="minorBidi"/>
                <w:sz w:val="20"/>
                <w:szCs w:val="20"/>
              </w:rPr>
              <w:t>We kindly ask to change the Must Meet Requirement from “Each Member” to the “All Parties Combined”.</w:t>
            </w:r>
          </w:p>
        </w:tc>
        <w:tc>
          <w:tcPr>
            <w:tcW w:w="4536" w:type="dxa"/>
          </w:tcPr>
          <w:p w14:paraId="7B52EBE2" w14:textId="03E2559A" w:rsidR="006B75F3" w:rsidRDefault="00BB58C5" w:rsidP="00BB58C5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6B75F3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lastRenderedPageBreak/>
              <w:t xml:space="preserve">This 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criterion </w:t>
            </w:r>
            <w:r w:rsidRPr="006B75F3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requirement ensures that all JV members possess a specific level of financial capacity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.</w:t>
            </w:r>
            <w:r w:rsidRPr="006B75F3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Thus, 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e</w:t>
            </w:r>
            <w:r w:rsidRPr="006B75F3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ach member of the JV must individually meet the qualification criterion of having a sound financial position</w:t>
            </w:r>
            <w:r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(minimum liquidity ratio and maximum indebtedness ratio)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. Therefore, w</w:t>
            </w:r>
            <w:r w:rsidR="00D67FB1" w:rsidRPr="00D67FB1">
              <w:rPr>
                <w:rFonts w:asciiTheme="minorBidi" w:eastAsia="Times New Roman" w:hAnsiTheme="minorBidi"/>
                <w:sz w:val="20"/>
                <w:szCs w:val="20"/>
              </w:rPr>
              <w:t xml:space="preserve">e </w:t>
            </w:r>
            <w:r w:rsidR="00D67FB1">
              <w:rPr>
                <w:rFonts w:asciiTheme="minorBidi" w:eastAsia="Times New Roman" w:hAnsiTheme="minorBidi"/>
                <w:sz w:val="20"/>
                <w:szCs w:val="20"/>
              </w:rPr>
              <w:t>cannot</w:t>
            </w:r>
            <w:r w:rsidR="00D67FB1" w:rsidRPr="00D67FB1">
              <w:rPr>
                <w:rFonts w:asciiTheme="minorBidi" w:eastAsia="Times New Roman" w:hAnsiTheme="minorBidi"/>
                <w:sz w:val="20"/>
                <w:szCs w:val="20"/>
              </w:rPr>
              <w:t xml:space="preserve"> change the Must Meet Requirement from “Each Member” to “All Parties Combined”</w:t>
            </w:r>
            <w:r w:rsidR="00D67FB1">
              <w:rPr>
                <w:rFonts w:asciiTheme="minorBidi" w:eastAsia="Times New Roman" w:hAnsiTheme="minorBidi"/>
                <w:sz w:val="20"/>
                <w:szCs w:val="20"/>
              </w:rPr>
              <w:t xml:space="preserve"> for the financial position criterion</w:t>
            </w:r>
            <w:r w:rsidR="00D67FB1" w:rsidRPr="00D67FB1"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  <w:r w:rsidR="00D67FB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</w:t>
            </w:r>
          </w:p>
          <w:p w14:paraId="373043D3" w14:textId="77777777" w:rsidR="006B75F3" w:rsidRPr="006B75F3" w:rsidRDefault="006B75F3" w:rsidP="006B75F3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  <w:p w14:paraId="51A6BFE8" w14:textId="77777777" w:rsidR="006B75F3" w:rsidRPr="006B75F3" w:rsidRDefault="006B75F3" w:rsidP="006B75F3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  <w:p w14:paraId="051D0159" w14:textId="77777777" w:rsidR="006B75F3" w:rsidRPr="006B75F3" w:rsidRDefault="006B75F3" w:rsidP="006B75F3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  <w:p w14:paraId="44C9738C" w14:textId="77777777" w:rsidR="006B75F3" w:rsidRPr="006B75F3" w:rsidRDefault="006B75F3" w:rsidP="006B75F3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  <w:p w14:paraId="7F628EE2" w14:textId="77777777" w:rsidR="006B75F3" w:rsidRPr="006B75F3" w:rsidRDefault="006B75F3" w:rsidP="006B75F3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  <w:p w14:paraId="031069D1" w14:textId="77777777" w:rsidR="00F1009C" w:rsidRPr="00F1009C" w:rsidRDefault="00F1009C" w:rsidP="006B75F3">
            <w:pPr>
              <w:spacing w:after="18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</w:tr>
      <w:tr w:rsidR="00F1009C" w:rsidRPr="00F1009C" w14:paraId="512A261E" w14:textId="77777777" w:rsidTr="00F1009C">
        <w:tc>
          <w:tcPr>
            <w:tcW w:w="709" w:type="dxa"/>
            <w:vAlign w:val="center"/>
          </w:tcPr>
          <w:p w14:paraId="61506B4B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14:paraId="653115A1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2717A538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</w:tr>
      <w:tr w:rsidR="00F1009C" w:rsidRPr="00F1009C" w14:paraId="201AF16C" w14:textId="77777777" w:rsidTr="00F1009C">
        <w:tc>
          <w:tcPr>
            <w:tcW w:w="709" w:type="dxa"/>
            <w:vAlign w:val="center"/>
          </w:tcPr>
          <w:p w14:paraId="59051F65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14:paraId="34923F02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6987F6FB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</w:tr>
      <w:tr w:rsidR="00F1009C" w:rsidRPr="00F1009C" w14:paraId="25D07B73" w14:textId="77777777" w:rsidTr="00F1009C">
        <w:tc>
          <w:tcPr>
            <w:tcW w:w="709" w:type="dxa"/>
            <w:vAlign w:val="center"/>
          </w:tcPr>
          <w:p w14:paraId="44AC87D6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14:paraId="29E40126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2B0CD191" w14:textId="77777777" w:rsidR="00F1009C" w:rsidRPr="00F1009C" w:rsidRDefault="00F1009C" w:rsidP="00F1009C">
            <w:pPr>
              <w:spacing w:after="180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</w:p>
        </w:tc>
      </w:tr>
    </w:tbl>
    <w:p w14:paraId="4A1CA11A" w14:textId="77777777" w:rsidR="00F1009C" w:rsidRPr="00F1009C" w:rsidRDefault="00F1009C" w:rsidP="00F1009C">
      <w:pPr>
        <w:spacing w:after="180" w:line="240" w:lineRule="auto"/>
        <w:jc w:val="center"/>
        <w:rPr>
          <w:rFonts w:asciiTheme="minorBidi" w:eastAsia="Times New Roman" w:hAnsiTheme="minorBidi"/>
          <w:sz w:val="24"/>
          <w:szCs w:val="20"/>
          <w:lang w:val="en-GB"/>
        </w:rPr>
      </w:pPr>
    </w:p>
    <w:p w14:paraId="475D305F" w14:textId="77777777" w:rsidR="00F1009C" w:rsidRPr="00F1009C" w:rsidRDefault="00F1009C" w:rsidP="00F1009C">
      <w:pPr>
        <w:spacing w:after="180" w:line="240" w:lineRule="auto"/>
        <w:jc w:val="center"/>
        <w:rPr>
          <w:rFonts w:asciiTheme="minorBidi" w:eastAsia="Times New Roman" w:hAnsiTheme="minorBidi"/>
          <w:sz w:val="24"/>
          <w:szCs w:val="20"/>
          <w:lang w:val="en-GB"/>
        </w:rPr>
      </w:pPr>
    </w:p>
    <w:sectPr w:rsidR="00F1009C" w:rsidRPr="00F100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A90E" w14:textId="77777777" w:rsidR="00D64DB5" w:rsidRDefault="00D64DB5" w:rsidP="00B51702">
      <w:pPr>
        <w:spacing w:after="0" w:line="240" w:lineRule="auto"/>
      </w:pPr>
      <w:r>
        <w:separator/>
      </w:r>
    </w:p>
  </w:endnote>
  <w:endnote w:type="continuationSeparator" w:id="0">
    <w:p w14:paraId="638593BA" w14:textId="77777777" w:rsidR="00D64DB5" w:rsidRDefault="00D64DB5" w:rsidP="00B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4A55" w14:textId="77777777" w:rsidR="00D64DB5" w:rsidRDefault="00D64DB5" w:rsidP="00B51702">
      <w:pPr>
        <w:spacing w:after="0" w:line="240" w:lineRule="auto"/>
      </w:pPr>
      <w:r>
        <w:separator/>
      </w:r>
    </w:p>
  </w:footnote>
  <w:footnote w:type="continuationSeparator" w:id="0">
    <w:p w14:paraId="37C106EB" w14:textId="77777777" w:rsidR="00D64DB5" w:rsidRDefault="00D64DB5" w:rsidP="00B5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9E"/>
    <w:multiLevelType w:val="hybridMultilevel"/>
    <w:tmpl w:val="6B92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170"/>
    <w:multiLevelType w:val="hybridMultilevel"/>
    <w:tmpl w:val="48DA4B32"/>
    <w:lvl w:ilvl="0" w:tplc="02A61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B7816"/>
    <w:multiLevelType w:val="hybridMultilevel"/>
    <w:tmpl w:val="EDEAB2B8"/>
    <w:lvl w:ilvl="0" w:tplc="56AC86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1BD9"/>
    <w:multiLevelType w:val="multilevel"/>
    <w:tmpl w:val="19263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840617">
    <w:abstractNumId w:val="0"/>
  </w:num>
  <w:num w:numId="2" w16cid:durableId="1875845205">
    <w:abstractNumId w:val="1"/>
  </w:num>
  <w:num w:numId="3" w16cid:durableId="1527328720">
    <w:abstractNumId w:val="3"/>
  </w:num>
  <w:num w:numId="4" w16cid:durableId="109740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91"/>
    <w:rsid w:val="00092F17"/>
    <w:rsid w:val="000D18A8"/>
    <w:rsid w:val="00346E99"/>
    <w:rsid w:val="003C4369"/>
    <w:rsid w:val="004B02D7"/>
    <w:rsid w:val="004B5C91"/>
    <w:rsid w:val="0051489B"/>
    <w:rsid w:val="00555B45"/>
    <w:rsid w:val="005D057A"/>
    <w:rsid w:val="00602EB1"/>
    <w:rsid w:val="0062174D"/>
    <w:rsid w:val="006B75F3"/>
    <w:rsid w:val="007E2426"/>
    <w:rsid w:val="00913079"/>
    <w:rsid w:val="009866C3"/>
    <w:rsid w:val="009F75E5"/>
    <w:rsid w:val="00AC1479"/>
    <w:rsid w:val="00AC71FD"/>
    <w:rsid w:val="00B00A52"/>
    <w:rsid w:val="00B17738"/>
    <w:rsid w:val="00B51702"/>
    <w:rsid w:val="00BB58C5"/>
    <w:rsid w:val="00CC6BC1"/>
    <w:rsid w:val="00D64DB5"/>
    <w:rsid w:val="00D67FB1"/>
    <w:rsid w:val="00DC1CA8"/>
    <w:rsid w:val="00DD7D9D"/>
    <w:rsid w:val="00E676CA"/>
    <w:rsid w:val="00ED1F63"/>
    <w:rsid w:val="00F1009C"/>
    <w:rsid w:val="00F3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2265"/>
  <w15:docId w15:val="{BE44A679-6722-41D9-AD80-701F1B8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702"/>
    <w:rPr>
      <w:sz w:val="20"/>
      <w:szCs w:val="20"/>
    </w:rPr>
  </w:style>
  <w:style w:type="character" w:styleId="FootnoteReference">
    <w:name w:val="footnote reference"/>
    <w:uiPriority w:val="99"/>
    <w:rsid w:val="00B51702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1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dzimistarishvil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SWMCG</cp:lastModifiedBy>
  <cp:revision>12</cp:revision>
  <cp:lastPrinted>2023-06-22T11:04:00Z</cp:lastPrinted>
  <dcterms:created xsi:type="dcterms:W3CDTF">2023-07-16T21:06:00Z</dcterms:created>
  <dcterms:modified xsi:type="dcterms:W3CDTF">2023-08-01T13:13:00Z</dcterms:modified>
</cp:coreProperties>
</file>